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1863"/>
      </w:pPr>
      <w:r>
        <w:t>商学院硕士研究生学位论文评审管理办法</w:t>
      </w:r>
    </w:p>
    <w:p>
      <w:pPr>
        <w:spacing w:before="214"/>
        <w:ind w:left="1744" w:right="1860" w:firstLine="0"/>
        <w:jc w:val="center"/>
        <w:rPr>
          <w:b/>
          <w:sz w:val="32"/>
        </w:rPr>
      </w:pPr>
      <w:r>
        <w:rPr>
          <w:b/>
          <w:sz w:val="32"/>
        </w:rPr>
        <w:t>（</w:t>
      </w:r>
      <w:r>
        <w:rPr>
          <w:rFonts w:ascii="Calibri" w:eastAsia="Calibri"/>
          <w:b/>
          <w:sz w:val="32"/>
        </w:rPr>
        <w:t xml:space="preserve">2019 </w:t>
      </w:r>
      <w:r>
        <w:rPr>
          <w:b/>
          <w:sz w:val="32"/>
        </w:rPr>
        <w:t xml:space="preserve">年 </w:t>
      </w:r>
      <w:r>
        <w:rPr>
          <w:rFonts w:ascii="Calibri" w:eastAsia="Calibri"/>
          <w:b/>
          <w:sz w:val="32"/>
        </w:rPr>
        <w:t xml:space="preserve">7 </w:t>
      </w:r>
      <w:r>
        <w:rPr>
          <w:b/>
          <w:sz w:val="32"/>
        </w:rPr>
        <w:t xml:space="preserve">月 </w:t>
      </w:r>
      <w:r>
        <w:rPr>
          <w:rFonts w:ascii="Calibri" w:eastAsia="Calibri"/>
          <w:b/>
          <w:sz w:val="32"/>
        </w:rPr>
        <w:t xml:space="preserve">15 </w:t>
      </w:r>
      <w:r>
        <w:rPr>
          <w:b/>
          <w:sz w:val="32"/>
        </w:rPr>
        <w:t>日第二次修订）</w:t>
      </w:r>
    </w:p>
    <w:p>
      <w:pPr>
        <w:pStyle w:val="4"/>
        <w:spacing w:before="109" w:line="242" w:lineRule="auto"/>
        <w:ind w:right="232" w:firstLine="480"/>
        <w:jc w:val="both"/>
      </w:pPr>
      <w:r>
        <w:rPr>
          <w:spacing w:val="-6"/>
        </w:rPr>
        <w:t>根据《中南大学研究生学位论文评审管理办法》、《中南大学硕士研究生学位论文</w:t>
      </w:r>
      <w:r>
        <w:rPr>
          <w:spacing w:val="-4"/>
        </w:rPr>
        <w:t>答辩前随机抽查“双盲”评审管理办法</w:t>
      </w:r>
      <w:r>
        <w:t>（</w:t>
      </w:r>
      <w:r>
        <w:rPr>
          <w:spacing w:val="-2"/>
        </w:rPr>
        <w:t>试行</w:t>
      </w:r>
      <w:r>
        <w:rPr>
          <w:spacing w:val="-7"/>
        </w:rPr>
        <w:t>）</w:t>
      </w:r>
      <w:r>
        <w:rPr>
          <w:spacing w:val="-5"/>
        </w:rPr>
        <w:t>》精神，为提高研究生学位论文质量和学位授予质量，切实做好硕士生学位论文评审工作，结合我院实际情况</w:t>
      </w:r>
      <w:r>
        <w:t>（</w:t>
      </w:r>
      <w:r>
        <w:rPr>
          <w:spacing w:val="-3"/>
        </w:rPr>
        <w:t>含院内匿名评</w:t>
      </w:r>
      <w:r>
        <w:t>审、外审、答辩前评审），特制定本办法。</w:t>
      </w:r>
    </w:p>
    <w:p>
      <w:pPr>
        <w:pStyle w:val="3"/>
        <w:spacing w:before="85"/>
      </w:pPr>
      <w:r>
        <w:t>一、硕士学位论文外审</w:t>
      </w:r>
    </w:p>
    <w:p>
      <w:pPr>
        <w:pStyle w:val="4"/>
        <w:spacing w:line="364" w:lineRule="auto"/>
        <w:ind w:right="264" w:firstLine="640"/>
      </w:pPr>
      <w:r>
        <w:t>按照《中南大学硕士研究生学位论文答辩前随机抽查“双盲”评审管理办法（试行）》执行。</w:t>
      </w:r>
    </w:p>
    <w:p>
      <w:pPr>
        <w:pStyle w:val="3"/>
        <w:spacing w:before="1"/>
      </w:pPr>
      <w:r>
        <w:t>二、硕士学位论文院内匿名评审（以下简称内审）</w:t>
      </w:r>
    </w:p>
    <w:p>
      <w:pPr>
        <w:pStyle w:val="4"/>
        <w:spacing w:line="364" w:lineRule="auto"/>
        <w:ind w:right="238" w:firstLine="540"/>
      </w:pPr>
      <w:r>
        <w:t>1、内审由学院各研究生管理部门（研究生教育管理中心、MBA 管理中心、专业学位办公室、EMBA 管理中心）组织进行。</w:t>
      </w:r>
    </w:p>
    <w:p>
      <w:pPr>
        <w:pStyle w:val="4"/>
        <w:spacing w:before="1"/>
        <w:ind w:left="658"/>
      </w:pPr>
      <w:r>
        <w:t>2、内审学位论文</w:t>
      </w:r>
    </w:p>
    <w:p>
      <w:pPr>
        <w:pStyle w:val="4"/>
        <w:spacing w:before="160"/>
        <w:ind w:left="658"/>
      </w:pPr>
      <w:r>
        <w:t>所有申请评审的学位论文（含外审论文）必须院内匿名评审。</w:t>
      </w:r>
    </w:p>
    <w:p>
      <w:pPr>
        <w:pStyle w:val="4"/>
        <w:spacing w:line="364" w:lineRule="auto"/>
        <w:ind w:right="246" w:firstLine="540"/>
      </w:pPr>
      <w:r>
        <w:rPr>
          <w:rFonts w:hint="eastAsia"/>
          <w:lang w:val="en-US" w:eastAsia="zh-CN"/>
        </w:rPr>
        <w:t>3</w:t>
      </w:r>
      <w:r>
        <w:t>、内审实行“双盲”评审，即送审的学位论文（含研究成果）及专家评阅书均隐去指导教师和硕士生的姓名，评审专家姓名对指导教师和硕士生保密。</w:t>
      </w:r>
    </w:p>
    <w:p>
      <w:pPr>
        <w:pStyle w:val="4"/>
        <w:spacing w:before="2" w:line="364" w:lineRule="auto"/>
        <w:ind w:right="244" w:firstLine="540"/>
      </w:pPr>
      <w:r>
        <w:rPr>
          <w:rFonts w:hint="eastAsia"/>
          <w:lang w:val="en-US" w:eastAsia="zh-CN"/>
        </w:rPr>
        <w:t>4</w:t>
      </w:r>
      <w:r>
        <w:rPr>
          <w:spacing w:val="-9"/>
        </w:rPr>
        <w:t xml:space="preserve">、内审应聘请 </w:t>
      </w:r>
      <w:r>
        <w:t>3</w:t>
      </w:r>
      <w:r>
        <w:rPr>
          <w:spacing w:val="-9"/>
        </w:rPr>
        <w:t xml:space="preserve"> 名本学科、专业具有高级专业技术职务或者硕士生指导教师资格</w:t>
      </w:r>
      <w:r>
        <w:t>的专家为论文评审人。</w:t>
      </w:r>
    </w:p>
    <w:p>
      <w:pPr>
        <w:pStyle w:val="4"/>
        <w:spacing w:before="1"/>
        <w:ind w:left="478"/>
      </w:pPr>
      <w:r>
        <w:rPr>
          <w:rFonts w:hint="eastAsia"/>
          <w:lang w:val="en-US" w:eastAsia="zh-CN"/>
        </w:rPr>
        <w:t>5</w:t>
      </w:r>
      <w:r>
        <w:t>、硕士学位论文送审资格审查</w:t>
      </w:r>
    </w:p>
    <w:p>
      <w:pPr>
        <w:pStyle w:val="4"/>
        <w:spacing w:before="160" w:line="364" w:lineRule="auto"/>
        <w:ind w:right="233" w:firstLine="571"/>
        <w:jc w:val="both"/>
      </w:pPr>
      <w:r>
        <w:rPr>
          <w:spacing w:val="-1"/>
        </w:rPr>
        <w:t>具有我校正式学籍的硕士研究生(以下简称硕士生)论文送审资格条件为：</w:t>
      </w:r>
      <w:r>
        <w:rPr>
          <w:spacing w:val="-6"/>
        </w:rPr>
        <w:t>（1）</w:t>
      </w:r>
      <w:r>
        <w:rPr>
          <w:spacing w:val="-8"/>
        </w:rPr>
        <w:t>完</w:t>
      </w:r>
      <w:r>
        <w:rPr>
          <w:spacing w:val="-4"/>
        </w:rPr>
        <w:t>成培养方案中规定的课程学习和所有环节，成绩合格，且通过研究生院培养办组织的硕</w:t>
      </w:r>
      <w:r>
        <w:t>士生毕业审核；（2）按照学术规范和论文撰写规范要求完成了一篇硕士学位论文，并经指导教师审核认可；（3）学位论文通过预答辩和“学术不端文献检测系统”检测。</w:t>
      </w:r>
    </w:p>
    <w:p>
      <w:pPr>
        <w:pStyle w:val="4"/>
        <w:spacing w:before="3"/>
        <w:ind w:left="478"/>
      </w:pPr>
      <w:r>
        <w:rPr>
          <w:rFonts w:hint="eastAsia"/>
          <w:lang w:val="en-US" w:eastAsia="zh-CN"/>
        </w:rPr>
        <w:t>6</w:t>
      </w:r>
      <w:r>
        <w:t>、硕士学位论文送审材料</w:t>
      </w:r>
    </w:p>
    <w:p>
      <w:pPr>
        <w:pStyle w:val="8"/>
        <w:numPr>
          <w:numId w:val="0"/>
        </w:numPr>
        <w:tabs>
          <w:tab w:val="left" w:pos="960"/>
        </w:tabs>
        <w:spacing w:before="161" w:after="0" w:line="240" w:lineRule="auto"/>
        <w:ind w:left="357" w:leftChars="0" w:right="0" w:rightChars="0"/>
        <w:jc w:val="left"/>
        <w:rPr>
          <w:sz w:val="24"/>
        </w:rPr>
      </w:pPr>
      <w:r>
        <w:rPr>
          <w:spacing w:val="-6"/>
        </w:rPr>
        <w:t>（1）</w:t>
      </w:r>
      <w:r>
        <w:rPr>
          <w:sz w:val="24"/>
        </w:rPr>
        <w:t>《导师同意送审意见表》一份；</w:t>
      </w:r>
    </w:p>
    <w:p>
      <w:pPr>
        <w:pStyle w:val="8"/>
        <w:numPr>
          <w:numId w:val="0"/>
        </w:numPr>
        <w:tabs>
          <w:tab w:val="left" w:pos="960"/>
        </w:tabs>
        <w:spacing w:before="160" w:after="0" w:line="240" w:lineRule="auto"/>
        <w:ind w:left="357" w:leftChars="0" w:right="0" w:rightChars="0"/>
        <w:jc w:val="left"/>
        <w:rPr>
          <w:sz w:val="24"/>
        </w:rPr>
      </w:pPr>
      <w:r>
        <w:t>（2）</w:t>
      </w:r>
      <w:r>
        <w:rPr>
          <w:sz w:val="24"/>
        </w:rPr>
        <w:t>学位论文电子版一份（隐去指导教师和硕士生的姓名</w:t>
      </w:r>
      <w:r>
        <w:rPr>
          <w:spacing w:val="-120"/>
          <w:sz w:val="24"/>
        </w:rPr>
        <w:t>）</w:t>
      </w:r>
      <w:r>
        <w:rPr>
          <w:sz w:val="24"/>
        </w:rPr>
        <w:t>。</w:t>
      </w:r>
    </w:p>
    <w:p>
      <w:pPr>
        <w:pStyle w:val="4"/>
        <w:spacing w:line="364" w:lineRule="auto"/>
        <w:ind w:right="232" w:firstLine="360"/>
        <w:jc w:val="both"/>
      </w:pPr>
      <w:r>
        <w:rPr>
          <w:rFonts w:hint="eastAsia"/>
          <w:lang w:val="en-US" w:eastAsia="zh-CN"/>
        </w:rPr>
        <w:t>7</w:t>
      </w:r>
      <w:r>
        <w:rPr>
          <w:spacing w:val="-7"/>
        </w:rPr>
        <w:t>、专家评审意见和评审成绩由评审专家返回到学院各研究生管理部门。商学院学位</w:t>
      </w:r>
      <w:r>
        <w:rPr>
          <w:spacing w:val="-4"/>
        </w:rPr>
        <w:t>评定分委会和研究生教学指导委员会根据专家评审意见，审定是否进入学位论文答辩程</w:t>
      </w:r>
      <w:r>
        <w:t>序。</w:t>
      </w:r>
    </w:p>
    <w:p>
      <w:pPr>
        <w:pStyle w:val="4"/>
        <w:spacing w:before="2"/>
        <w:ind w:left="478"/>
      </w:pPr>
      <w:r>
        <w:rPr>
          <w:rFonts w:hint="eastAsia"/>
          <w:lang w:val="en-US" w:eastAsia="zh-CN"/>
        </w:rPr>
        <w:t>8</w:t>
      </w:r>
      <w:r>
        <w:t>、专家评审意见的处理</w:t>
      </w:r>
    </w:p>
    <w:p>
      <w:pPr>
        <w:spacing w:after="0"/>
        <w:sectPr>
          <w:type w:val="continuous"/>
          <w:pgSz w:w="11910" w:h="16840"/>
          <w:pgMar w:top="1240" w:right="1180" w:bottom="280" w:left="1300" w:header="720" w:footer="720" w:gutter="0"/>
        </w:sectPr>
      </w:pPr>
    </w:p>
    <w:p>
      <w:pPr>
        <w:pStyle w:val="8"/>
        <w:numPr>
          <w:ilvl w:val="1"/>
          <w:numId w:val="1"/>
        </w:numPr>
        <w:tabs>
          <w:tab w:val="left" w:pos="1361"/>
        </w:tabs>
        <w:spacing w:before="51" w:after="0" w:line="240" w:lineRule="auto"/>
        <w:ind w:left="1360" w:right="0" w:hanging="602"/>
        <w:jc w:val="left"/>
        <w:rPr>
          <w:sz w:val="24"/>
        </w:rPr>
      </w:pPr>
      <w:r>
        <w:rPr>
          <w:spacing w:val="-8"/>
          <w:sz w:val="24"/>
        </w:rPr>
        <w:t xml:space="preserve">评审专家中如有 </w:t>
      </w:r>
      <w:r>
        <w:rPr>
          <w:sz w:val="24"/>
        </w:rPr>
        <w:t>2</w:t>
      </w:r>
      <w:r>
        <w:rPr>
          <w:spacing w:val="-23"/>
          <w:sz w:val="24"/>
        </w:rPr>
        <w:t xml:space="preserve"> 位以上</w:t>
      </w:r>
      <w:r>
        <w:rPr>
          <w:sz w:val="24"/>
        </w:rPr>
        <w:t>（</w:t>
      </w:r>
      <w:r>
        <w:rPr>
          <w:spacing w:val="-30"/>
          <w:sz w:val="24"/>
        </w:rPr>
        <w:t xml:space="preserve">含 </w:t>
      </w:r>
      <w:r>
        <w:rPr>
          <w:sz w:val="24"/>
        </w:rPr>
        <w:t>2</w:t>
      </w:r>
      <w:r>
        <w:rPr>
          <w:spacing w:val="-30"/>
          <w:sz w:val="24"/>
        </w:rPr>
        <w:t xml:space="preserve"> 位</w:t>
      </w:r>
      <w:r>
        <w:rPr>
          <w:spacing w:val="-32"/>
          <w:sz w:val="24"/>
        </w:rPr>
        <w:t>）</w:t>
      </w:r>
      <w:r>
        <w:rPr>
          <w:sz w:val="24"/>
        </w:rPr>
        <w:t>专家认为论文未达到硕士学位水平且不</w:t>
      </w:r>
    </w:p>
    <w:p>
      <w:pPr>
        <w:pStyle w:val="4"/>
      </w:pPr>
      <w:r>
        <w:t>同意答辩或评审成绩平均分低于 60 分时，不予组织答辩，半年后重新送审论文。</w:t>
      </w:r>
    </w:p>
    <w:p>
      <w:pPr>
        <w:pStyle w:val="8"/>
        <w:numPr>
          <w:ilvl w:val="1"/>
          <w:numId w:val="1"/>
        </w:numPr>
        <w:tabs>
          <w:tab w:val="left" w:pos="1361"/>
        </w:tabs>
        <w:spacing w:before="160" w:after="0" w:line="240" w:lineRule="auto"/>
        <w:ind w:left="1360" w:right="0" w:hanging="602"/>
        <w:jc w:val="left"/>
        <w:rPr>
          <w:sz w:val="24"/>
        </w:rPr>
      </w:pPr>
      <w:r>
        <w:rPr>
          <w:sz w:val="24"/>
        </w:rPr>
        <w:t>学硕、MPACC、金融硕士</w:t>
      </w:r>
    </w:p>
    <w:p>
      <w:pPr>
        <w:pStyle w:val="4"/>
        <w:spacing w:before="194"/>
        <w:ind w:left="718"/>
      </w:pPr>
      <w:r>
        <w:t>如有 1 位专家认为论文未达到硕士学位水平且不同意答辩，或 2 位（含）以上评</w:t>
      </w:r>
    </w:p>
    <w:p>
      <w:pPr>
        <w:pStyle w:val="4"/>
        <w:spacing w:before="134" w:line="343" w:lineRule="auto"/>
        <w:ind w:right="173"/>
      </w:pPr>
      <w:r>
        <w:t>审专家评分在 65 分（含）以下，须提交商学院学位评定分委会和研究生教学指导委员会进行会评和表决。</w:t>
      </w:r>
    </w:p>
    <w:p>
      <w:pPr>
        <w:pStyle w:val="8"/>
        <w:numPr>
          <w:ilvl w:val="1"/>
          <w:numId w:val="1"/>
        </w:numPr>
        <w:tabs>
          <w:tab w:val="left" w:pos="1320"/>
        </w:tabs>
        <w:spacing w:before="0" w:after="0" w:line="306" w:lineRule="exact"/>
        <w:ind w:left="1319" w:right="0" w:hanging="602"/>
        <w:jc w:val="left"/>
        <w:rPr>
          <w:sz w:val="24"/>
        </w:rPr>
      </w:pPr>
      <w:r>
        <w:rPr>
          <w:sz w:val="24"/>
        </w:rPr>
        <w:t>MBA、EMBA、工程硕士</w:t>
      </w:r>
    </w:p>
    <w:p>
      <w:pPr>
        <w:pStyle w:val="4"/>
        <w:spacing w:before="135"/>
        <w:ind w:left="718"/>
      </w:pPr>
      <w:r>
        <w:t>如有 1 位专家认为论文未达到硕士学位水平且不同意答辩，或 2 位（含）以上评</w:t>
      </w:r>
    </w:p>
    <w:p>
      <w:pPr>
        <w:pStyle w:val="4"/>
        <w:spacing w:before="132" w:line="343" w:lineRule="auto"/>
        <w:ind w:right="174"/>
      </w:pPr>
      <w:r>
        <w:t>审专家评分在 63 分（含）以下，须提交商学院学位评定分委会和研究生教学指导委员会进行会评和表决。</w:t>
      </w:r>
    </w:p>
    <w:p>
      <w:pPr>
        <w:pStyle w:val="8"/>
        <w:numPr>
          <w:ilvl w:val="1"/>
          <w:numId w:val="1"/>
        </w:numPr>
        <w:tabs>
          <w:tab w:val="left" w:pos="1320"/>
        </w:tabs>
        <w:spacing w:before="1" w:after="0" w:line="240" w:lineRule="auto"/>
        <w:ind w:left="1319" w:right="0" w:hanging="602"/>
        <w:jc w:val="left"/>
        <w:rPr>
          <w:sz w:val="24"/>
        </w:rPr>
      </w:pPr>
      <w:r>
        <w:rPr>
          <w:sz w:val="24"/>
        </w:rPr>
        <w:t>会评规则</w:t>
      </w:r>
    </w:p>
    <w:p>
      <w:pPr>
        <w:pStyle w:val="4"/>
        <w:spacing w:before="132" w:line="343" w:lineRule="auto"/>
        <w:ind w:right="234" w:firstLine="599"/>
        <w:jc w:val="both"/>
      </w:pPr>
      <w:r>
        <w:rPr>
          <w:spacing w:val="-3"/>
        </w:rPr>
        <w:t xml:space="preserve">商学院学位评定分委会和研究生教学指导委员会的 </w:t>
      </w:r>
      <w:r>
        <w:rPr>
          <w:rFonts w:ascii="Calibri" w:eastAsia="Calibri"/>
          <w:spacing w:val="-8"/>
        </w:rPr>
        <w:t>2/3</w:t>
      </w:r>
      <w:r>
        <w:rPr>
          <w:spacing w:val="-8"/>
        </w:rPr>
        <w:t>（</w:t>
      </w:r>
      <w:r>
        <w:t>含</w:t>
      </w:r>
      <w:r>
        <w:rPr>
          <w:spacing w:val="-29"/>
        </w:rPr>
        <w:t>）</w:t>
      </w:r>
      <w:r>
        <w:rPr>
          <w:spacing w:val="-6"/>
        </w:rPr>
        <w:t>以上成员到会，会议</w:t>
      </w:r>
      <w:r>
        <w:rPr>
          <w:spacing w:val="-2"/>
        </w:rPr>
        <w:t xml:space="preserve">方有效；同意票数达到实到委员的 </w:t>
      </w:r>
      <w:r>
        <w:rPr>
          <w:rFonts w:ascii="Calibri" w:eastAsia="Calibri"/>
        </w:rPr>
        <w:t>2/3</w:t>
      </w:r>
      <w:r>
        <w:t>（含</w:t>
      </w:r>
      <w:r>
        <w:rPr>
          <w:spacing w:val="-3"/>
        </w:rPr>
        <w:t>）</w:t>
      </w:r>
      <w:r>
        <w:rPr>
          <w:spacing w:val="-1"/>
        </w:rPr>
        <w:t>以上为表决通过。会评专家表决认为论文</w:t>
      </w:r>
      <w:r>
        <w:t>未达到硕士学位水平且不同意答辩时，不予组织答辩，半年后重新送审论文。</w:t>
      </w:r>
    </w:p>
    <w:p>
      <w:pPr>
        <w:pStyle w:val="3"/>
        <w:spacing w:before="0" w:line="275" w:lineRule="exact"/>
      </w:pPr>
      <w:r>
        <w:t>三、硕士学位论文内审、外审结果相结合规则</w:t>
      </w:r>
    </w:p>
    <w:p>
      <w:pPr>
        <w:pStyle w:val="4"/>
        <w:spacing w:before="194" w:line="343" w:lineRule="auto"/>
        <w:ind w:right="114" w:firstLine="599"/>
      </w:pPr>
      <w:r>
        <w:t>1</w:t>
      </w:r>
      <w:r>
        <w:rPr>
          <w:spacing w:val="-6"/>
        </w:rPr>
        <w:t>、送外审的学位论文，按照《中南大学硕士研究生学位论文答辩前随机抽查“双</w:t>
      </w:r>
      <w:r>
        <w:rPr>
          <w:spacing w:val="-9"/>
        </w:rPr>
        <w:t>盲”评审管理办法</w:t>
      </w:r>
      <w:r>
        <w:t>（试行</w:t>
      </w:r>
      <w:r>
        <w:rPr>
          <w:spacing w:val="-27"/>
        </w:rPr>
        <w:t>）</w:t>
      </w:r>
      <w:r>
        <w:rPr>
          <w:spacing w:val="-12"/>
        </w:rPr>
        <w:t>》中“六、评审结果的处理”</w:t>
      </w:r>
      <w:r>
        <w:rPr>
          <w:spacing w:val="-26"/>
        </w:rPr>
        <w:t>（</w:t>
      </w:r>
      <w:r>
        <w:t>见备注</w:t>
      </w:r>
      <w:r>
        <w:rPr>
          <w:spacing w:val="-27"/>
        </w:rPr>
        <w:t>）</w:t>
      </w:r>
      <w:r>
        <w:rPr>
          <w:spacing w:val="-8"/>
        </w:rPr>
        <w:t>规定执行，达到“进入答辩环节”，同时，内审结果为通过。方可进入“硕士学位论文答辩前评审”阶段。否则，推迟半年后再送评审。</w:t>
      </w:r>
    </w:p>
    <w:p>
      <w:pPr>
        <w:spacing w:before="1" w:line="319" w:lineRule="auto"/>
        <w:ind w:left="601" w:right="3785" w:firstLine="117"/>
        <w:jc w:val="left"/>
        <w:rPr>
          <w:b/>
          <w:sz w:val="24"/>
        </w:rPr>
      </w:pPr>
      <w:r>
        <w:rPr>
          <w:sz w:val="24"/>
        </w:rPr>
        <w:t>2、只送内审的学位论文，按照内审结果执行。</w:t>
      </w:r>
      <w:r>
        <w:rPr>
          <w:b/>
          <w:sz w:val="24"/>
        </w:rPr>
        <w:t>四、硕士学位论文答辩前评审</w:t>
      </w:r>
    </w:p>
    <w:p>
      <w:pPr>
        <w:pStyle w:val="4"/>
        <w:spacing w:before="58"/>
        <w:ind w:left="598"/>
      </w:pPr>
      <w:r>
        <w:t>1、硕士学位论文答辩前评审由硕士生导师所在系（或学科）组织安排。</w:t>
      </w:r>
    </w:p>
    <w:p>
      <w:pPr>
        <w:pStyle w:val="4"/>
        <w:spacing w:before="160" w:line="364" w:lineRule="auto"/>
        <w:ind w:right="116" w:firstLine="480"/>
      </w:pPr>
      <w:r>
        <w:t>2</w:t>
      </w:r>
      <w:r>
        <w:rPr>
          <w:spacing w:val="-5"/>
        </w:rPr>
        <w:t xml:space="preserve">、硕士学位论文应聘请至少 </w:t>
      </w:r>
      <w:r>
        <w:t>2</w:t>
      </w:r>
      <w:r>
        <w:rPr>
          <w:spacing w:val="-8"/>
        </w:rPr>
        <w:t xml:space="preserve"> 名本学科、专业具有高级专业技术职务的专家或研</w:t>
      </w:r>
      <w:r>
        <w:rPr>
          <w:spacing w:val="-11"/>
        </w:rPr>
        <w:t>究生指导教师为论文评阅人，指导教师和所在学科认可、学院学位评定分委员会审核同</w:t>
      </w:r>
      <w:r>
        <w:rPr>
          <w:spacing w:val="-12"/>
        </w:rPr>
        <w:t xml:space="preserve">意。全日制、非全日制硕士专业学位论文评阅至少有 </w:t>
      </w:r>
      <w:r>
        <w:t>1</w:t>
      </w:r>
      <w:r>
        <w:rPr>
          <w:spacing w:val="-8"/>
        </w:rPr>
        <w:t xml:space="preserve"> 名外单位</w:t>
      </w:r>
      <w:r>
        <w:t>（非硕士生所在单位） 行业高级职称专家。申请人的指导教师、推荐人不能聘为论文评审人。</w:t>
      </w:r>
    </w:p>
    <w:p>
      <w:pPr>
        <w:pStyle w:val="4"/>
        <w:spacing w:before="3" w:line="364" w:lineRule="auto"/>
        <w:ind w:right="304" w:firstLine="480"/>
      </w:pPr>
      <w:r>
        <w:t>3</w:t>
      </w:r>
      <w:r>
        <w:rPr>
          <w:spacing w:val="-1"/>
        </w:rPr>
        <w:t>、论文评阅人应具有较强的责任心，作风正派，在相应学科专业领域学术造诣较</w:t>
      </w:r>
      <w:r>
        <w:rPr>
          <w:spacing w:val="-3"/>
        </w:rPr>
        <w:t xml:space="preserve">深、近年来取得较好成果的专家，年龄原则上不超过 </w:t>
      </w:r>
      <w:r>
        <w:t>60</w:t>
      </w:r>
      <w:r>
        <w:rPr>
          <w:spacing w:val="-30"/>
        </w:rPr>
        <w:t xml:space="preserve"> 岁</w:t>
      </w:r>
      <w:r>
        <w:t>（</w:t>
      </w:r>
      <w:r>
        <w:rPr>
          <w:spacing w:val="-2"/>
        </w:rPr>
        <w:t>其中院士年龄原则上不超</w:t>
      </w:r>
    </w:p>
    <w:p>
      <w:pPr>
        <w:pStyle w:val="4"/>
        <w:spacing w:before="1"/>
      </w:pPr>
      <w:r>
        <w:t>过 70 岁）。</w:t>
      </w:r>
    </w:p>
    <w:p>
      <w:pPr>
        <w:pStyle w:val="4"/>
        <w:spacing w:line="364" w:lineRule="auto"/>
        <w:ind w:right="305" w:firstLine="480"/>
      </w:pPr>
      <w:r>
        <w:t>4、原则上要求所有评阅专家均认为论文达到硕士学位水平要求，且同意答辩时， 各学科所在系方能安排答辩。</w:t>
      </w:r>
    </w:p>
    <w:p>
      <w:pPr>
        <w:pStyle w:val="3"/>
        <w:ind w:left="601"/>
      </w:pPr>
      <w:r>
        <w:t>五、港澳台及外国留学研究生的学位论文评审可参照本办法执行。</w:t>
      </w:r>
    </w:p>
    <w:p>
      <w:pPr>
        <w:spacing w:after="0"/>
        <w:sectPr>
          <w:pgSz w:w="11910" w:h="16840"/>
          <w:pgMar w:top="1200" w:right="1180" w:bottom="280" w:left="1300" w:header="720" w:footer="720" w:gutter="0"/>
        </w:sectPr>
      </w:pPr>
    </w:p>
    <w:p>
      <w:pPr>
        <w:spacing w:before="51" w:line="364" w:lineRule="auto"/>
        <w:ind w:left="118" w:right="238" w:firstLine="482"/>
        <w:jc w:val="left"/>
        <w:rPr>
          <w:b/>
          <w:sz w:val="24"/>
        </w:rPr>
      </w:pPr>
      <w:r>
        <w:rPr>
          <w:b/>
          <w:spacing w:val="-9"/>
          <w:sz w:val="24"/>
        </w:rPr>
        <w:t>六、研究生及其他相关人员不得干扰学位论文评审工作的正常进行，如有违反，将</w:t>
      </w:r>
      <w:r>
        <w:rPr>
          <w:b/>
          <w:sz w:val="24"/>
        </w:rPr>
        <w:t>严肃处理，直至取消其学位申请资格。</w:t>
      </w:r>
    </w:p>
    <w:p>
      <w:pPr>
        <w:spacing w:before="2"/>
        <w:ind w:left="601" w:right="0" w:firstLine="0"/>
        <w:jc w:val="left"/>
        <w:rPr>
          <w:b/>
          <w:sz w:val="24"/>
        </w:rPr>
      </w:pPr>
      <w:r>
        <w:rPr>
          <w:b/>
          <w:sz w:val="24"/>
        </w:rPr>
        <w:t>七、 本办法自发布之日起施行，由商学院学位评定分委会负责解释。</w:t>
      </w:r>
    </w:p>
    <w:p>
      <w:pPr>
        <w:pStyle w:val="4"/>
        <w:spacing w:before="0"/>
        <w:ind w:left="0"/>
        <w:rPr>
          <w:b/>
        </w:rPr>
      </w:pPr>
    </w:p>
    <w:p>
      <w:pPr>
        <w:pStyle w:val="4"/>
        <w:spacing w:before="0"/>
        <w:ind w:left="0"/>
        <w:rPr>
          <w:b/>
          <w:sz w:val="25"/>
        </w:rPr>
      </w:pPr>
    </w:p>
    <w:p>
      <w:pPr>
        <w:pStyle w:val="4"/>
        <w:spacing w:before="0" w:line="364" w:lineRule="auto"/>
        <w:ind w:right="238" w:firstLine="240"/>
      </w:pPr>
      <w:r>
        <w:rPr>
          <w:spacing w:val="-45"/>
        </w:rPr>
        <w:t>备注</w:t>
      </w:r>
      <w:r>
        <w:rPr>
          <w:spacing w:val="-89"/>
        </w:rPr>
        <w:t>（</w:t>
      </w:r>
      <w:r>
        <w:rPr>
          <w:spacing w:val="-12"/>
        </w:rPr>
        <w:t>《中南大学硕士研究生学位论文答辩前随机抽查“双盲”评审管理办法</w:t>
      </w:r>
      <w:r>
        <w:t>（试行</w:t>
      </w:r>
      <w:r>
        <w:rPr>
          <w:spacing w:val="-89"/>
        </w:rPr>
        <w:t>）</w:t>
      </w:r>
      <w:r>
        <w:rPr>
          <w:spacing w:val="-16"/>
        </w:rPr>
        <w:t>》</w:t>
      </w:r>
      <w:r>
        <w:t>中“六、评审结果的处理”）：</w:t>
      </w:r>
    </w:p>
    <w:p>
      <w:pPr>
        <w:pStyle w:val="4"/>
        <w:spacing w:before="1"/>
        <w:ind w:left="358"/>
      </w:pPr>
      <w:r>
        <w:t>六、评</w:t>
      </w:r>
      <w:bookmarkStart w:id="0" w:name="_GoBack"/>
      <w:bookmarkEnd w:id="0"/>
      <w:r>
        <w:t>审结果的处理</w:t>
      </w:r>
    </w:p>
    <w:p>
      <w:pPr>
        <w:pStyle w:val="4"/>
        <w:spacing w:line="364" w:lineRule="auto"/>
        <w:ind w:right="235" w:firstLine="240"/>
        <w:jc w:val="both"/>
      </w:pPr>
      <w:r>
        <w:rPr>
          <w:spacing w:val="-7"/>
        </w:rPr>
        <w:t>二级培养单位负责“双盲”评审工作的管理人员对评审结果进行客观统计，将隐去评</w:t>
      </w:r>
      <w:r>
        <w:rPr>
          <w:spacing w:val="-4"/>
        </w:rPr>
        <w:t>审专家信息的评审意见适时反馈给研究生和导师，并根据本办法决定硕士生学位论文下</w:t>
      </w:r>
      <w:r>
        <w:t>一阶段工作安排。</w:t>
      </w:r>
    </w:p>
    <w:p>
      <w:pPr>
        <w:pStyle w:val="4"/>
        <w:spacing w:before="2"/>
        <w:ind w:left="358"/>
        <w:jc w:val="both"/>
      </w:pPr>
      <w:r>
        <w:t>（一）2 名专家评审结果都为“同意答辩”的，可以进入答辩环节。</w:t>
      </w:r>
    </w:p>
    <w:p>
      <w:pPr>
        <w:pStyle w:val="4"/>
        <w:spacing w:line="364" w:lineRule="auto"/>
        <w:ind w:right="235" w:firstLine="240"/>
      </w:pPr>
      <w:r>
        <w:t>（二</w:t>
      </w:r>
      <w:r>
        <w:rPr>
          <w:spacing w:val="-8"/>
        </w:rPr>
        <w:t>）</w:t>
      </w:r>
      <w:r>
        <w:rPr>
          <w:spacing w:val="-7"/>
        </w:rPr>
        <w:t>评审结果为“同意答辩”、“修改论文后答辩”的，修改论文并经导师同意后</w:t>
      </w:r>
      <w:r>
        <w:t>进入答辩环节。</w:t>
      </w:r>
    </w:p>
    <w:p>
      <w:pPr>
        <w:pStyle w:val="4"/>
        <w:spacing w:before="1" w:line="364" w:lineRule="auto"/>
        <w:ind w:right="232" w:firstLine="240"/>
      </w:pPr>
      <w:r>
        <w:t>（三</w:t>
      </w:r>
      <w:r>
        <w:rPr>
          <w:spacing w:val="-58"/>
        </w:rPr>
        <w:t>）</w:t>
      </w:r>
      <w:r>
        <w:rPr>
          <w:spacing w:val="-18"/>
        </w:rPr>
        <w:t xml:space="preserve">评审结果为“不同意答辩”的，修改并延期 </w:t>
      </w:r>
      <w:r>
        <w:t>3</w:t>
      </w:r>
      <w:r>
        <w:rPr>
          <w:spacing w:val="-13"/>
        </w:rPr>
        <w:t xml:space="preserve"> 个月以上后重新申请学位论文“双</w:t>
      </w:r>
      <w:r>
        <w:t>盲”评审。</w:t>
      </w:r>
    </w:p>
    <w:p>
      <w:pPr>
        <w:pStyle w:val="4"/>
        <w:spacing w:before="2" w:line="364" w:lineRule="auto"/>
        <w:ind w:right="125" w:firstLine="240"/>
      </w:pPr>
      <w:r>
        <w:t>（四）</w:t>
      </w:r>
      <w:r>
        <w:rPr>
          <w:spacing w:val="-1"/>
        </w:rPr>
        <w:t xml:space="preserve">若一名专家评审结果为“同意答辩”，另一名专家评审结果为“不同意答辩” </w:t>
      </w:r>
      <w:r>
        <w:rPr>
          <w:spacing w:val="-8"/>
        </w:rPr>
        <w:t>的，另聘本校一名高水平专家进行“双盲”评审，若评审结果为“同意答辩”，则可进入答辩环节；若评审结果为“不同意答辩”，则视评审结果都为“不同意答辩”。</w:t>
      </w:r>
    </w:p>
    <w:p>
      <w:pPr>
        <w:pStyle w:val="4"/>
        <w:spacing w:before="1"/>
        <w:ind w:left="358"/>
      </w:pPr>
      <w:r>
        <w:t>（五）对“不同意答辩”的申请学位论文硕士生：</w:t>
      </w:r>
    </w:p>
    <w:p>
      <w:pPr>
        <w:pStyle w:val="8"/>
        <w:numPr>
          <w:ilvl w:val="0"/>
          <w:numId w:val="2"/>
        </w:numPr>
        <w:tabs>
          <w:tab w:val="left" w:pos="960"/>
        </w:tabs>
        <w:spacing w:before="161" w:after="0" w:line="364" w:lineRule="auto"/>
        <w:ind w:left="118" w:right="305" w:firstLine="240"/>
        <w:jc w:val="left"/>
        <w:rPr>
          <w:sz w:val="24"/>
        </w:rPr>
      </w:pPr>
      <w:r>
        <w:rPr>
          <w:spacing w:val="-1"/>
          <w:sz w:val="24"/>
        </w:rPr>
        <w:t>申请人应按评审专家的意见对学位论文认真进行修改，必须在规定时间内完成</w:t>
      </w:r>
      <w:r>
        <w:rPr>
          <w:sz w:val="24"/>
        </w:rPr>
        <w:t>其学位论文修改工作，并提供详细的学位论文修改说明。</w:t>
      </w:r>
    </w:p>
    <w:p>
      <w:pPr>
        <w:pStyle w:val="8"/>
        <w:numPr>
          <w:ilvl w:val="0"/>
          <w:numId w:val="2"/>
        </w:numPr>
        <w:tabs>
          <w:tab w:val="left" w:pos="960"/>
        </w:tabs>
        <w:spacing w:before="1" w:after="0" w:line="364" w:lineRule="auto"/>
        <w:ind w:left="118" w:right="305" w:firstLine="240"/>
        <w:jc w:val="left"/>
        <w:rPr>
          <w:sz w:val="24"/>
        </w:rPr>
      </w:pPr>
      <w:r>
        <w:rPr>
          <w:spacing w:val="-1"/>
          <w:sz w:val="24"/>
        </w:rPr>
        <w:t>导师应认真履行职责，及时指导、督促研究生进行学位论文修改，并承担第二</w:t>
      </w:r>
      <w:r>
        <w:rPr>
          <w:sz w:val="24"/>
        </w:rPr>
        <w:t>次“双盲”评审的经费。</w:t>
      </w:r>
    </w:p>
    <w:p>
      <w:pPr>
        <w:pStyle w:val="8"/>
        <w:numPr>
          <w:ilvl w:val="0"/>
          <w:numId w:val="2"/>
        </w:numPr>
        <w:tabs>
          <w:tab w:val="left" w:pos="960"/>
        </w:tabs>
        <w:spacing w:before="2" w:after="0" w:line="240" w:lineRule="auto"/>
        <w:ind w:left="959" w:right="0" w:hanging="602"/>
        <w:jc w:val="left"/>
        <w:rPr>
          <w:sz w:val="24"/>
        </w:rPr>
      </w:pPr>
      <w:r>
        <w:rPr>
          <w:sz w:val="24"/>
        </w:rPr>
        <w:t>申请学位论文继续实行“双盲”评审。</w:t>
      </w:r>
    </w:p>
    <w:p>
      <w:pPr>
        <w:pStyle w:val="4"/>
        <w:spacing w:before="160" w:line="364" w:lineRule="auto"/>
        <w:ind w:right="234" w:firstLine="240"/>
        <w:jc w:val="both"/>
      </w:pPr>
      <w:r>
        <w:t>（六）2</w:t>
      </w:r>
      <w:r>
        <w:rPr>
          <w:spacing w:val="-8"/>
        </w:rPr>
        <w:t xml:space="preserve"> 名专家的评审结果为“不同意答辩”的，则该导师下一届硕士生学位论文全</w:t>
      </w:r>
      <w:r>
        <w:rPr>
          <w:spacing w:val="-10"/>
        </w:rPr>
        <w:t xml:space="preserve">部外送“双盲”评审，并从下一次招生开始该导师的硕士生招生人数最多为 </w:t>
      </w:r>
      <w:r>
        <w:t>1</w:t>
      </w:r>
      <w:r>
        <w:rPr>
          <w:spacing w:val="-18"/>
        </w:rPr>
        <w:t xml:space="preserve"> 人，直至</w:t>
      </w:r>
      <w:r>
        <w:t>“双盲”评审结果都为“A”或“B”。</w:t>
      </w:r>
    </w:p>
    <w:p>
      <w:pPr>
        <w:pStyle w:val="4"/>
        <w:spacing w:before="2" w:line="364" w:lineRule="auto"/>
        <w:ind w:right="235" w:firstLine="240"/>
        <w:jc w:val="both"/>
      </w:pPr>
      <w:r>
        <w:rPr>
          <w:spacing w:val="-9"/>
        </w:rPr>
        <w:t xml:space="preserve">若某导师累计 </w:t>
      </w:r>
      <w:r>
        <w:t>2</w:t>
      </w:r>
      <w:r>
        <w:rPr>
          <w:spacing w:val="-14"/>
        </w:rPr>
        <w:t xml:space="preserve"> 次以上出现此情形，则从下一年度开始 </w:t>
      </w:r>
      <w:r>
        <w:t>3</w:t>
      </w:r>
      <w:r>
        <w:rPr>
          <w:spacing w:val="-9"/>
        </w:rPr>
        <w:t xml:space="preserve"> 年内停止给予该导师硕士生</w:t>
      </w:r>
      <w:r>
        <w:t>招生计划。</w:t>
      </w:r>
    </w:p>
    <w:sectPr>
      <w:pgSz w:w="11910" w:h="16840"/>
      <w:pgMar w:top="1200" w:right="1180" w:bottom="280" w:left="13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18" w:hanging="601"/>
        <w:jc w:val="left"/>
      </w:pPr>
      <w:rPr>
        <w:rFonts w:hint="default" w:ascii="宋体" w:hAnsi="宋体" w:eastAsia="宋体" w:cs="宋体"/>
        <w:spacing w:val="-16"/>
        <w:w w:val="100"/>
        <w:sz w:val="22"/>
        <w:szCs w:val="22"/>
        <w:lang w:val="zh-CN" w:eastAsia="zh-CN" w:bidi="zh-CN"/>
      </w:rPr>
    </w:lvl>
    <w:lvl w:ilvl="1" w:tentative="0">
      <w:start w:val="0"/>
      <w:numFmt w:val="bullet"/>
      <w:lvlText w:val="•"/>
      <w:lvlJc w:val="left"/>
      <w:pPr>
        <w:ind w:left="1050" w:hanging="601"/>
      </w:pPr>
      <w:rPr>
        <w:rFonts w:hint="default"/>
        <w:lang w:val="zh-CN" w:eastAsia="zh-CN" w:bidi="zh-CN"/>
      </w:rPr>
    </w:lvl>
    <w:lvl w:ilvl="2" w:tentative="0">
      <w:start w:val="0"/>
      <w:numFmt w:val="bullet"/>
      <w:lvlText w:val="•"/>
      <w:lvlJc w:val="left"/>
      <w:pPr>
        <w:ind w:left="1981" w:hanging="601"/>
      </w:pPr>
      <w:rPr>
        <w:rFonts w:hint="default"/>
        <w:lang w:val="zh-CN" w:eastAsia="zh-CN" w:bidi="zh-CN"/>
      </w:rPr>
    </w:lvl>
    <w:lvl w:ilvl="3" w:tentative="0">
      <w:start w:val="0"/>
      <w:numFmt w:val="bullet"/>
      <w:lvlText w:val="•"/>
      <w:lvlJc w:val="left"/>
      <w:pPr>
        <w:ind w:left="2911" w:hanging="601"/>
      </w:pPr>
      <w:rPr>
        <w:rFonts w:hint="default"/>
        <w:lang w:val="zh-CN" w:eastAsia="zh-CN" w:bidi="zh-CN"/>
      </w:rPr>
    </w:lvl>
    <w:lvl w:ilvl="4" w:tentative="0">
      <w:start w:val="0"/>
      <w:numFmt w:val="bullet"/>
      <w:lvlText w:val="•"/>
      <w:lvlJc w:val="left"/>
      <w:pPr>
        <w:ind w:left="3842"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703" w:hanging="601"/>
      </w:pPr>
      <w:rPr>
        <w:rFonts w:hint="default"/>
        <w:lang w:val="zh-CN" w:eastAsia="zh-CN" w:bidi="zh-CN"/>
      </w:rPr>
    </w:lvl>
    <w:lvl w:ilvl="7" w:tentative="0">
      <w:start w:val="0"/>
      <w:numFmt w:val="bullet"/>
      <w:lvlText w:val="•"/>
      <w:lvlJc w:val="left"/>
      <w:pPr>
        <w:ind w:left="6634" w:hanging="601"/>
      </w:pPr>
      <w:rPr>
        <w:rFonts w:hint="default"/>
        <w:lang w:val="zh-CN" w:eastAsia="zh-CN" w:bidi="zh-CN"/>
      </w:rPr>
    </w:lvl>
    <w:lvl w:ilvl="8" w:tentative="0">
      <w:start w:val="0"/>
      <w:numFmt w:val="bullet"/>
      <w:lvlText w:val="•"/>
      <w:lvlJc w:val="left"/>
      <w:pPr>
        <w:ind w:left="7565" w:hanging="60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959" w:hanging="601"/>
        <w:jc w:val="left"/>
      </w:pPr>
      <w:rPr>
        <w:rFonts w:hint="default" w:ascii="宋体" w:hAnsi="宋体" w:eastAsia="宋体" w:cs="宋体"/>
        <w:spacing w:val="-120"/>
        <w:w w:val="100"/>
        <w:sz w:val="22"/>
        <w:szCs w:val="22"/>
        <w:lang w:val="zh-CN" w:eastAsia="zh-CN" w:bidi="zh-CN"/>
      </w:rPr>
    </w:lvl>
    <w:lvl w:ilvl="1" w:tentative="0">
      <w:start w:val="1"/>
      <w:numFmt w:val="decimal"/>
      <w:lvlText w:val="（%2）"/>
      <w:lvlJc w:val="left"/>
      <w:pPr>
        <w:ind w:left="1360" w:hanging="601"/>
        <w:jc w:val="left"/>
      </w:pPr>
      <w:rPr>
        <w:rFonts w:hint="default" w:ascii="宋体" w:hAnsi="宋体" w:eastAsia="宋体" w:cs="宋体"/>
        <w:spacing w:val="-32"/>
        <w:w w:val="100"/>
        <w:sz w:val="22"/>
        <w:szCs w:val="22"/>
        <w:lang w:val="zh-CN" w:eastAsia="zh-CN" w:bidi="zh-CN"/>
      </w:rPr>
    </w:lvl>
    <w:lvl w:ilvl="2" w:tentative="0">
      <w:start w:val="0"/>
      <w:numFmt w:val="bullet"/>
      <w:lvlText w:val="•"/>
      <w:lvlJc w:val="left"/>
      <w:pPr>
        <w:ind w:left="2256" w:hanging="601"/>
      </w:pPr>
      <w:rPr>
        <w:rFonts w:hint="default"/>
        <w:lang w:val="zh-CN" w:eastAsia="zh-CN" w:bidi="zh-CN"/>
      </w:rPr>
    </w:lvl>
    <w:lvl w:ilvl="3" w:tentative="0">
      <w:start w:val="0"/>
      <w:numFmt w:val="bullet"/>
      <w:lvlText w:val="•"/>
      <w:lvlJc w:val="left"/>
      <w:pPr>
        <w:ind w:left="3152" w:hanging="601"/>
      </w:pPr>
      <w:rPr>
        <w:rFonts w:hint="default"/>
        <w:lang w:val="zh-CN" w:eastAsia="zh-CN" w:bidi="zh-CN"/>
      </w:rPr>
    </w:lvl>
    <w:lvl w:ilvl="4" w:tentative="0">
      <w:start w:val="0"/>
      <w:numFmt w:val="bullet"/>
      <w:lvlText w:val="•"/>
      <w:lvlJc w:val="left"/>
      <w:pPr>
        <w:ind w:left="4048" w:hanging="601"/>
      </w:pPr>
      <w:rPr>
        <w:rFonts w:hint="default"/>
        <w:lang w:val="zh-CN" w:eastAsia="zh-CN" w:bidi="zh-CN"/>
      </w:rPr>
    </w:lvl>
    <w:lvl w:ilvl="5" w:tentative="0">
      <w:start w:val="0"/>
      <w:numFmt w:val="bullet"/>
      <w:lvlText w:val="•"/>
      <w:lvlJc w:val="left"/>
      <w:pPr>
        <w:ind w:left="4945" w:hanging="601"/>
      </w:pPr>
      <w:rPr>
        <w:rFonts w:hint="default"/>
        <w:lang w:val="zh-CN" w:eastAsia="zh-CN" w:bidi="zh-CN"/>
      </w:rPr>
    </w:lvl>
    <w:lvl w:ilvl="6" w:tentative="0">
      <w:start w:val="0"/>
      <w:numFmt w:val="bullet"/>
      <w:lvlText w:val="•"/>
      <w:lvlJc w:val="left"/>
      <w:pPr>
        <w:ind w:left="5841" w:hanging="601"/>
      </w:pPr>
      <w:rPr>
        <w:rFonts w:hint="default"/>
        <w:lang w:val="zh-CN" w:eastAsia="zh-CN" w:bidi="zh-CN"/>
      </w:rPr>
    </w:lvl>
    <w:lvl w:ilvl="7" w:tentative="0">
      <w:start w:val="0"/>
      <w:numFmt w:val="bullet"/>
      <w:lvlText w:val="•"/>
      <w:lvlJc w:val="left"/>
      <w:pPr>
        <w:ind w:left="6737" w:hanging="601"/>
      </w:pPr>
      <w:rPr>
        <w:rFonts w:hint="default"/>
        <w:lang w:val="zh-CN" w:eastAsia="zh-CN" w:bidi="zh-CN"/>
      </w:rPr>
    </w:lvl>
    <w:lvl w:ilvl="8" w:tentative="0">
      <w:start w:val="0"/>
      <w:numFmt w:val="bullet"/>
      <w:lvlText w:val="•"/>
      <w:lvlJc w:val="left"/>
      <w:pPr>
        <w:ind w:left="7633" w:hanging="601"/>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48C5E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7"/>
      <w:ind w:left="1744" w:right="1860"/>
      <w:jc w:val="center"/>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spacing w:before="2"/>
      <w:ind w:left="759"/>
      <w:outlineLvl w:val="2"/>
    </w:pPr>
    <w:rPr>
      <w:rFonts w:ascii="宋体" w:hAnsi="宋体" w:eastAsia="宋体" w:cs="宋体"/>
      <w:b/>
      <w:bCs/>
      <w:sz w:val="24"/>
      <w:szCs w:val="24"/>
      <w:lang w:val="zh-CN" w:eastAsia="zh-CN" w:bidi="zh-CN"/>
    </w:rPr>
  </w:style>
  <w:style w:type="character" w:default="1" w:styleId="6">
    <w:name w:val="Default Paragraph Font"/>
    <w:semiHidden/>
    <w:unhideWhenUsed/>
    <w:qFormat/>
    <w:uiPriority w:val="1"/>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pPr>
      <w:spacing w:before="161"/>
      <w:ind w:left="118"/>
    </w:pPr>
    <w:rPr>
      <w:rFonts w:ascii="宋体" w:hAnsi="宋体" w:eastAsia="宋体" w:cs="宋体"/>
      <w:sz w:val="24"/>
      <w:szCs w:val="24"/>
      <w:lang w:val="zh-CN" w:eastAsia="zh-CN" w:bidi="zh-CN"/>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spacing w:before="1"/>
      <w:ind w:left="959" w:hanging="602"/>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2019-07-15T11:23:00Z</dcterms:created>
  <dc:creator>Dell</dc:creator>
  <cp:lastModifiedBy>Dell</cp:lastModifiedBy>
  <dcterms:modified xsi:type="dcterms:W3CDTF">2019-07-15T11:27:23Z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2019-07-15T00:00:00Z</vt:filetime>
  </property>
  <property fmtid="{D5CDD505-2E9C-101B-9397-08002B2CF9AE}" pid="3" name="Creator">
    <vt:lpwstr>Microsoft® Office Word 2007</vt:lpwstr>
  </property>
  <property fmtid="{D5CDD505-2E9C-101B-9397-08002B2CF9AE}" pid="4" name="LastSaved">
    <vt:filetime>2019-07-15T00:00:00Z</vt:filetime>
  </property>
  <property fmtid="{D5CDD505-2E9C-101B-9397-08002B2CF9AE}" pid="5" name="KSOProductBuildVer">
    <vt:lpwstr>2052-11.1.0.8813</vt:lpwstr>
  </property>
</Properties>
</file>